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 w:cs="Times New Roman"/>
          <w:b/>
          <w:sz w:val="28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4"/>
        </w:rPr>
        <w:t xml:space="preserve">Муниципальное бюджетное общеобразовательное учреждение                                   </w:t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Шарангская</w:t>
      </w:r>
      <w:r>
        <w:rPr>
          <w:rFonts w:ascii="Times New Roman" w:hAnsi="Times New Roman" w:eastAsia="Calibri" w:cs="Times New Roman"/>
          <w:b/>
          <w:sz w:val="28"/>
          <w:szCs w:val="24"/>
        </w:rPr>
        <w:t xml:space="preserve"> средняя школа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1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3530"/>
        <w:gridCol w:w="3223"/>
      </w:tblGrid>
      <w:tr>
        <w:trPr>
          <w:trHeight w:val="18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33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«Рассмотрено»</w:t>
            </w:r>
            <w:r/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заседании педсовета МБОУ</w:t>
            </w:r>
            <w:r/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Шарангской средней школы</w:t>
            </w:r>
            <w:r/>
            <w:r/>
          </w:p>
          <w:p>
            <w:pPr>
              <w:ind w:right="-485"/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Протокол № 2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25» августа  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 г.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530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«Согласовано»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Зам. директора по ВР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___________/Кудрявцева О.Ю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 xml:space="preserve">ФИО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 «25» августа 2023 г.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3" w:type="dxa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«Утверждаю»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Директор школы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Михеева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М.В.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/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</w:rPr>
              <w:t xml:space="preserve">                           ФИО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100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/>
              <w:t xml:space="preserve">от «25» августа 2023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/>
            <w:r/>
          </w:p>
          <w:p>
            <w:pPr>
              <w:jc w:val="center"/>
              <w:spacing w:after="0"/>
              <w:tabs>
                <w:tab w:val="left" w:pos="9288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vertAlign w:val="superscript"/>
              </w:rPr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Дополнительная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общеобразовательная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(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общеразвивающая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)</w:t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программа художественной</w:t>
      </w:r>
      <w:r>
        <w:rPr>
          <w:rFonts w:ascii="Times New Roman" w:hAnsi="Times New Roman" w:eastAsia="Calibri" w:cs="Times New Roman"/>
          <w:sz w:val="32"/>
          <w:szCs w:val="28"/>
          <w:lang w:eastAsia="ru-RU"/>
        </w:rPr>
        <w:t xml:space="preserve"> направленности </w:t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32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32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b/>
          <w:sz w:val="32"/>
          <w:szCs w:val="28"/>
          <w:lang w:eastAsia="ru-RU"/>
        </w:rPr>
        <w:t xml:space="preserve">Танцуйка</w:t>
      </w:r>
      <w:r>
        <w:rPr>
          <w:rFonts w:ascii="Times New Roman" w:hAnsi="Times New Roman" w:eastAsia="Calibri" w:cs="Times New Roman"/>
          <w:b/>
          <w:sz w:val="32"/>
          <w:szCs w:val="28"/>
          <w:lang w:eastAsia="ru-RU"/>
        </w:rPr>
        <w:t xml:space="preserve">»</w:t>
      </w:r>
      <w:r/>
    </w:p>
    <w:p>
      <w:pPr>
        <w:ind w:firstLine="426"/>
        <w:jc w:val="center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iCs/>
          <w:sz w:val="32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iCs/>
          <w:sz w:val="32"/>
          <w:szCs w:val="28"/>
        </w:rPr>
        <w:t xml:space="preserve">13-17</w:t>
      </w:r>
      <w:r>
        <w:rPr>
          <w:rFonts w:ascii="Times New Roman" w:hAnsi="Times New Roman" w:cs="Times New Roman"/>
          <w:iCs/>
          <w:sz w:val="32"/>
          <w:szCs w:val="28"/>
        </w:rPr>
        <w:t xml:space="preserve"> лет</w:t>
      </w:r>
      <w:r/>
    </w:p>
    <w:p>
      <w:pPr>
        <w:ind w:firstLine="900"/>
        <w:spacing w:after="0"/>
        <w:rPr>
          <w:rFonts w:ascii="Times New Roman" w:hAnsi="Times New Roman" w:cs="Times New Roman"/>
          <w:iCs/>
          <w:sz w:val="32"/>
          <w:szCs w:val="28"/>
        </w:rPr>
      </w:pPr>
      <w:r>
        <w:rPr>
          <w:rFonts w:ascii="Times New Roman" w:hAnsi="Times New Roman" w:cs="Times New Roman"/>
          <w:iCs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iCs/>
          <w:sz w:val="32"/>
          <w:szCs w:val="28"/>
        </w:rPr>
        <w:t xml:space="preserve">Срок реализации программы: 1 год</w:t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Calibri" w:cs="Times New Roman"/>
          <w:sz w:val="28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4"/>
          <w:lang w:eastAsia="ru-RU"/>
        </w:rPr>
      </w:r>
      <w:r/>
    </w:p>
    <w:p>
      <w:pPr>
        <w:jc w:val="center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</w:r>
      <w:r/>
    </w:p>
    <w:p>
      <w:pPr>
        <w:ind w:left="-567" w:firstLine="900"/>
        <w:jc w:val="right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Реализует программу: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/>
    </w:p>
    <w:p>
      <w:pPr>
        <w:ind w:left="-567" w:firstLine="900"/>
        <w:jc w:val="right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педагог дополнительного образования</w:t>
      </w:r>
      <w:r/>
    </w:p>
    <w:p>
      <w:pPr>
        <w:ind w:left="-567" w:firstLine="900"/>
        <w:jc w:val="right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Костыгова</w:t>
      </w:r>
      <w:r>
        <w:rPr>
          <w:rFonts w:ascii="Times New Roman" w:hAnsi="Times New Roman" w:cs="Times New Roman"/>
          <w:iCs/>
          <w:sz w:val="28"/>
          <w:szCs w:val="24"/>
        </w:rPr>
        <w:t xml:space="preserve"> А.И.</w:t>
      </w:r>
      <w:r/>
    </w:p>
    <w:p>
      <w:pPr>
        <w:ind w:left="-567" w:firstLine="900"/>
        <w:jc w:val="center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ind w:left="-567" w:firstLine="900"/>
        <w:jc w:val="center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ind w:left="-567" w:firstLine="900"/>
        <w:jc w:val="center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ind w:left="-567" w:firstLine="900"/>
        <w:jc w:val="center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ind w:left="-567" w:firstLine="900"/>
        <w:jc w:val="center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2023 </w:t>
      </w:r>
      <w:r>
        <w:rPr>
          <w:rFonts w:ascii="Times New Roman" w:hAnsi="Times New Roman" w:cs="Times New Roman"/>
          <w:iCs/>
          <w:sz w:val="28"/>
          <w:szCs w:val="24"/>
        </w:rPr>
        <w:t xml:space="preserve">г.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ояснительная записка.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Танец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это уникальное по своей сути явление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в котором слилось воедино и ритм, и движение, и самовыражение, самосовершенствование, и энергия, и задор. Это прекрасная возможность стать здоровым, жизнерадостным, грациозным и уверенным в себе независимо от возраста, танцевального опыта и способностей.</w:t>
      </w:r>
      <w:r/>
    </w:p>
    <w:p>
      <w:pPr>
        <w:ind w:right="-262"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танце, как и в спорте, в дополнение к таланту и вдохновении нужна техника.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Занятий детей танцами дисциплинируют, помогают лучшему согласованию мысли и действий, воспитывают одаренную, трудовую, физически  крепкую, творческую личность.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занятиях ритмикой, хореографией, и пластической гимнастикой дети учатся координации движении, развивают гибкость и пластику, изучают основы позиций и положения рук и ног в танце.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Танец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 только источник движения под музыку, но и форма общения. Причем и партеров по танцу, и всех присутствующих в зале, находящихся в данную минуту в роли зрителей.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Танец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откроет для детей богатый мир добра, света, красоты, научит творческой  преобразовательной деятельности.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Программа танцевального кружка по типу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адаптированная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 организации учебного процесса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краткосрочная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всестороннее развитие ребё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пособностей и качеств личностей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средствами музыки и ритмических движений.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Задачи: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Развить творческие возможности детей.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Учить выразительно и непринужденно двигаться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соответствии с музыкальными образами, разнообразным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характером музыки, динамикой (усиление, ослабление звука)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Добиться, чтобы движения были естественными,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непринужденными, выразительными.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Научить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эмоционально, образно передать в движении  настроение, чувства, развитие сюжетной линии.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Периодичность занятий: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 раз в неделю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академических часа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Объем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учебной нагрузки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часа.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детей: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13-17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лет.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даемый результат: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1.Уметь различать различные жанры музыкальных произведений (пляска, вальс, полька, марш).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2.Знание  классической базы (позиции ног, рук)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Освоить гимнастическую подготовку.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4.Добиться полной связи движений с музыкой.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5.Уметь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легко, пластично двигаться, 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гласуя движения с построением музыкального произведения.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6.Уметь в движениях передать характер музыки.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Освоить различные танцевальные движения.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Уметь танцевать 2-3 танца.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Мониторинг качества усвоения программы.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Целью мониторинга качества образования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является  определение уровня освоения учащимися  программы (в образовательной деятельности и личностном развитии), соотнесение полученного  результата с целью программы.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Задачи мониторинга:</w:t>
      </w:r>
      <w:r/>
    </w:p>
    <w:p>
      <w:pPr>
        <w:numPr>
          <w:ilvl w:val="0"/>
          <w:numId w:val="5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отслеживание и фиксация результатов освоения  программы;</w:t>
      </w:r>
      <w:r/>
    </w:p>
    <w:p>
      <w:pPr>
        <w:numPr>
          <w:ilvl w:val="0"/>
          <w:numId w:val="5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отслеживание и фиксация особенностей личностного развития учащихся;</w:t>
      </w:r>
      <w:r/>
    </w:p>
    <w:p>
      <w:pPr>
        <w:numPr>
          <w:ilvl w:val="0"/>
          <w:numId w:val="5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отслеживание динамики развития коллектива и его творческого роста.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Содержание направлений мониторинга:</w:t>
      </w:r>
      <w:r/>
    </w:p>
    <w:p>
      <w:pPr>
        <w:numPr>
          <w:ilvl w:val="0"/>
          <w:numId w:val="6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качества образовательной деятельности;</w:t>
      </w:r>
      <w:r/>
    </w:p>
    <w:p>
      <w:pPr>
        <w:numPr>
          <w:ilvl w:val="0"/>
          <w:numId w:val="6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личностного развития учащихся;</w:t>
      </w:r>
      <w:r/>
    </w:p>
    <w:p>
      <w:pPr>
        <w:numPr>
          <w:ilvl w:val="0"/>
          <w:numId w:val="6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коллективной творческой деятельности.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течение первого полугодия  и в конце года заполняется таблица «Качественная оценка результатов по разделам программы», где после изучения каждого раздела программы определяются критерии оценки уровня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обученности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детей по дополнительной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общеобразовательной программе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оптимальный, хороший или допустимый:</w:t>
      </w:r>
      <w:r/>
    </w:p>
    <w:p>
      <w:pPr>
        <w:numPr>
          <w:ilvl w:val="0"/>
          <w:numId w:val="7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оптимальный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(высокий образовательный результат, полное освоение содержания программы, имеет творческие достижения на уровне посёлка, района, области);</w:t>
      </w:r>
      <w:r/>
    </w:p>
    <w:p>
      <w:pPr>
        <w:numPr>
          <w:ilvl w:val="0"/>
          <w:numId w:val="7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хороший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(полное освоение программы, но при выполнении заданий допускает незначительные ошибки);</w:t>
      </w:r>
      <w:r/>
    </w:p>
    <w:p>
      <w:pPr>
        <w:numPr>
          <w:ilvl w:val="0"/>
          <w:numId w:val="8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допустимый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(освоил программу, но допускает существенные ошибки в знаниях предмета и при выполнении практических заданий).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Учебный план.</w:t>
      </w:r>
      <w:r/>
    </w:p>
    <w:tbl>
      <w:tblPr>
        <w:tblStyle w:val="625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1134"/>
        <w:gridCol w:w="1276"/>
        <w:gridCol w:w="1134"/>
        <w:gridCol w:w="1985"/>
      </w:tblGrid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учебного занятия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Теоретическая  часть занятия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часть занятия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аттестации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Танец «Варенька». Повторение, отработка элементов и связок танцевальной постановки.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Опрос.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танца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Концертное выступление.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анализ выступления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элементами различных танцев.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танцевальных элементов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Танец «Снежные бабочки».  Разучивание, отработка связок и элементов танцевального номера.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танца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Концертное выступление.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анализ выступления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«Венский вальс». Раз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учивание танцевальных элементов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рисунков, связок.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танца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Сюжетно-ролевой вальс для  школьного бала.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танца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школьном балу.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анализ выступлений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Танец на « Последний звонок». Разучивание и отработка элементов.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танца</w:t>
            </w:r>
            <w:r/>
          </w:p>
        </w:tc>
      </w:tr>
      <w:tr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</w:t>
            </w:r>
            <w:r/>
          </w:p>
        </w:tc>
        <w:tc>
          <w:tcPr>
            <w:tcW w:w="4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«Последнем звонке».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анализ выступления</w:t>
            </w:r>
            <w:r/>
          </w:p>
        </w:tc>
      </w:tr>
    </w:tbl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ind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плана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1.Теория.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Вводное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занятия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час.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А)  Организационная работа.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Б) Техника безопасности.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В)   Распределение по группам.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Г)  История танца.        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 Азбука музыкального движения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часа.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А) Вырабатывать осанку, умение держать голову и корпус прямо.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Различать и точно передавать в движениях начало и окончание    музыкальных фраз.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Учить передавать в движении  простейший ритмический рисунок.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формировать понятие о трех жанрах музыки: марш-тане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песня.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Д) Воспитывать дружеские взаимоотношение в танцах, умение      подчинять свои интересы интересам всего коллектива.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3.  Знакомство с танцем –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асов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 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Ознакомительный показ танцев, предлагаемых для разучивания, показ отдельных элементов, танцевальных движений.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4.  Разу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чивание танцевальных движений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часов.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  Разучивание музыкальных движений, включающие      коллективно-порядковые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ритмические упражнения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имеющие целью музыкально-ритмические движения для дальнейшего использования при разучивании танцев.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5. Разучивание танцев-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А) Танец  «Снежные бабочки»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Б) Танец «Венский вальс»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В)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Сюжетно-ролевой вальс для 9, 10 , 11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Г) Танец к празднику «Последний звонок»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6. Концертное выступл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ение - 8 часов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Выступление на празднике ко Дню учителя.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Выступление на Новогоднем празднике.</w:t>
      </w:r>
      <w:r/>
    </w:p>
    <w:p>
      <w:pPr>
        <w:ind w:firstLine="567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Выступление на школьном балу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г) Выступление на последнем звонке.</w:t>
      </w:r>
      <w:r/>
    </w:p>
    <w:p>
      <w:pPr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r>
      <w:r/>
    </w:p>
    <w:p>
      <w:pPr>
        <w:ind w:left="-1080" w:right="-442"/>
        <w:jc w:val="center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- тематический план.</w:t>
      </w:r>
      <w:r/>
    </w:p>
    <w:tbl>
      <w:tblPr>
        <w:tblW w:w="11199" w:type="dxa"/>
        <w:tblInd w:w="-318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8"/>
        <w:gridCol w:w="7962"/>
        <w:gridCol w:w="992"/>
        <w:gridCol w:w="1417"/>
      </w:tblGrid>
      <w:tr>
        <w:trPr>
          <w:trHeight w:val="721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занятия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</w:t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Теория.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Первичная диагностика.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танца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Дню учителя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ементов танца «Варенька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движений, связок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всего танца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празднике ко Дню учителя.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элементами различных танцев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Три жанра музыки: марш-танец-песня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Осанка, положение головы и корпуса в танце.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танцем  «Снежные бабочки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движений простейшего ритмического рисунка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основных движений, связок.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основных элементов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основных движений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основных движений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всего танца.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Промежуточная диагностика.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Выступление на Новогоднем утреннике.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танцем «Венский вальс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76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77"/>
        </w:trPr>
        <w:tc>
          <w:tcPr>
            <w:shd w:val="clear" w:color="auto" w:fill="ffffff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Знакомство с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сюжетно-ролевым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 вальсом для 9, 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, 11 кл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ассов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  <w:lang w:eastAsia="ru-RU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работка элементов танца.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Times New Roman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движений, связок.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всего танца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работка элементов танца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движений, связок тан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Выступление на школьном балу.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 танцем к празднику «Последний звонок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элементов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движений, связок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всего танца. Итоговая диагностика.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«Последнем звонке».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Формы аттестации</w:t>
      </w:r>
      <w:r/>
    </w:p>
    <w:p>
      <w:p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качества образования осуществляется ежегодно и разделяется на несколько этапов:</w:t>
      </w:r>
      <w:r/>
    </w:p>
    <w:p>
      <w:pPr>
        <w:numPr>
          <w:ilvl w:val="0"/>
          <w:numId w:val="9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первичная  диагностика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(проводится ежегодно в начале учебного года) –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истема тестовых заданий вводной диагностики разработана с учетом возрастных особенностей детей и предназначена для индивидуальной диагностики детей, поступающих в хореографический коллектив «Танцуйка». Данные задания позволяют выявить их природные данные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выворотность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ног, подъем стопы, балетн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ый шаг, прыжок, гибкость), музыкальность, память на движения, творческую активность. Проведение диагностики необходимо для  развития ребенка, выявления начального уровня развития музыкальных и двигательных способностей, состояния его эмоциональной сферы.  </w:t>
      </w:r>
      <w:r/>
    </w:p>
    <w:p>
      <w:pPr>
        <w:numPr>
          <w:ilvl w:val="0"/>
          <w:numId w:val="10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промежуточная диагностика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(проводится ежегодно в конце первого полугодия) – позволяет выявить достигнутый на 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нном этапе уровень освоения программы учащимися, динамику физического, творческого и личностного развития, соответствие его прогнозируемому и на этой основе оценить успешность выбранных форм и методов обучения, а также при необходимости скорректировать их;</w:t>
      </w:r>
      <w:r/>
    </w:p>
    <w:p>
      <w:pPr>
        <w:numPr>
          <w:ilvl w:val="0"/>
          <w:numId w:val="10"/>
        </w:numPr>
        <w:ind w:left="12" w:firstLine="555"/>
        <w:jc w:val="both"/>
        <w:spacing w:after="0" w:line="240" w:lineRule="auto"/>
        <w:shd w:val="clear" w:color="auto" w:fill="ffffff"/>
        <w:rPr>
          <w:rFonts w:ascii="Calibri" w:hAnsi="Calibri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 итоговая диагностика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(проводится ежегодно в конце учебного года) – это определение уровня освоения учащимися программы и отслеживание динамики индивидуального развития.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</w:t>
      </w:r>
      <w:r/>
    </w:p>
    <w:tbl>
      <w:tblPr>
        <w:tblW w:w="11199" w:type="dxa"/>
        <w:tblInd w:w="-459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90"/>
        <w:gridCol w:w="2538"/>
        <w:gridCol w:w="3227"/>
        <w:gridCol w:w="1384"/>
        <w:gridCol w:w="1560"/>
      </w:tblGrid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(оцениваемые параметры)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8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27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Степень выраженности оцениваемого качества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ind w:left="-141" w:right="-108"/>
              <w:jc w:val="center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Возможное кол-во баллов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Методы диагностики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подготовка ребенка: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1.1. Теоретические знания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 основным разделам учебно-тематического плана программы).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1.2. Владение специальной терминологией.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8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теоретических знаний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ребенка программным требованиям.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Осмысленность и правильность использования специальной терминологии.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(ребенок владеет менее чем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½ объема знаний, предусмотренных программой).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(объем усвоенных знаний составляет более ½).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(ребенок освоил практически весь объем знаний, предусмотренных программой за конкретный период).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(ребенок, как правило, избегает употреблять специальные термины).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(ребенок сочетает специальную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терминологию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с бытовой).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(специальные термины употребляет осознанно и в полном соответствии с их содержанием)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Тестирование,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собеседование…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Практическая подготовка ребенка: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2.1. Практические умения и навыки, предусмотренные программой (по основным разделам учебно-тематического плана программы)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2.2. Творческие навыки.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8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практических умений и навыков программным требованиям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Креативность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выполнении практических заданий.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(ребенок овладел менее чем ½ предусмотренных умений и навыков).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(объем усвоенных умений и навыков составляет  более ½).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(ребенок овладел практически всеми умениями и навыками, предусмотренными программой за конкретный период).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начальный, элементарный уровень развития креативности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(ребенок в состоянии выполнять лишь простейшие практические задания педагога).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репродуктивный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(выполняет в основном задания на основе образца).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творческий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(выполняет практические задания с элементами творчества)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задание…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задание,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наблюдение…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9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Общеучебные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умения и навыки ребенка: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3.1. Учебно-интеллектуальные умения: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3.1.1. Умение подбирать и анализировать специальную литературу.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3.2. Учебно-коммуникативные умения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: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3.2.1. Умение слушать и слышать педагога.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3.2.2. Умение выступать перед аудиторией.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8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Самостоятельность в подборе и анализе литературы.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Адекватность восприятия информации, идущей от педагога.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владения и подача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обучающимися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подготовленной информации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27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(учащиеся испытывают серьезные затруднения при работе с литературой, нуждается в постоянной помощи и контроле педагога).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 помощью педагога или родителей).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самостоятельно, не испытывает основных трудностей).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(обучающиеся испытывают серьезные затруднения при работе с литературой, нуждается в постоянной помощи и контроле педагога).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 помощью педагога или родителей).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самостоятельно, не испытывает основных трудностей)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Допустимый 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(обучающиеся испытывают серьезные затруднения при работе с литературой, нуждается в постоянной помощи и контроле педагога).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Хороший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 помощью педагога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родителей).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Оптимальный  уровень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(работает с литературой самостоятельно, не испытывает основных трудностей)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------------</w:t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</w:t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обеспечение.</w:t>
      </w:r>
      <w:r/>
    </w:p>
    <w:p>
      <w:pPr>
        <w:pStyle w:val="624"/>
        <w:numPr>
          <w:ilvl w:val="1"/>
          <w:numId w:val="9"/>
        </w:numPr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На занятиях ребенок находится в процессе открытия новых знаний. </w:t>
      </w:r>
      <w:r/>
    </w:p>
    <w:p>
      <w:pPr>
        <w:pStyle w:val="624"/>
        <w:numPr>
          <w:ilvl w:val="1"/>
          <w:numId w:val="9"/>
        </w:numPr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креативности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Педагог провоцирует и поощряет творческую активность детей. </w:t>
      </w:r>
      <w:r/>
    </w:p>
    <w:p>
      <w:pPr>
        <w:pStyle w:val="624"/>
        <w:numPr>
          <w:ilvl w:val="1"/>
          <w:numId w:val="9"/>
        </w:numPr>
        <w:ind w:left="0"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непрерывности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.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существление, как целостного, так и индивидуального подход</w:t>
      </w:r>
      <w:r>
        <w:rPr>
          <w:rFonts w:ascii="Times New Roman" w:hAnsi="Times New Roman" w:cs="Times New Roman"/>
          <w:sz w:val="24"/>
          <w:szCs w:val="24"/>
        </w:rPr>
        <w:t xml:space="preserve">а к воспитанию личности ребёнка.</w:t>
      </w:r>
      <w:r/>
    </w:p>
    <w:p>
      <w:pPr>
        <w:pStyle w:val="624"/>
        <w:ind w:left="0" w:firstLine="426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Методы занятий:</w:t>
      </w:r>
      <w:r/>
    </w:p>
    <w:p>
      <w:pPr>
        <w:pStyle w:val="624"/>
        <w:ind w:left="0" w:firstLine="426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Словесный</w:t>
      </w:r>
      <w:r>
        <w:rPr>
          <w:rFonts w:ascii="Times New Roman" w:hAnsi="Times New Roman" w:cs="Times New Roman"/>
          <w:sz w:val="24"/>
          <w:szCs w:val="24"/>
        </w:rPr>
        <w:t xml:space="preserve"> (объяснение, замечании)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24"/>
        <w:ind w:left="0" w:firstLine="426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Демонстр</w:t>
      </w:r>
      <w:r>
        <w:rPr>
          <w:rFonts w:ascii="Times New Roman" w:hAnsi="Times New Roman" w:cs="Times New Roman"/>
          <w:sz w:val="24"/>
          <w:szCs w:val="24"/>
        </w:rPr>
        <w:t xml:space="preserve">ационный (личный показ педагога.</w:t>
      </w:r>
      <w:r/>
    </w:p>
    <w:p>
      <w:pPr>
        <w:pStyle w:val="624"/>
        <w:ind w:left="0" w:firstLine="42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(выполнение движений)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реализации программы</w:t>
      </w:r>
      <w:r/>
    </w:p>
    <w:p>
      <w:pPr>
        <w:ind w:left="567"/>
        <w:spacing w:after="0" w:line="294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Музыкальный центр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left="567"/>
        <w:spacing w:after="0" w:line="294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Компьютер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left="567"/>
        <w:spacing w:after="0" w:line="294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Видеозаписи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center"/>
        <w:spacing w:after="0" w:line="240" w:lineRule="auto"/>
        <w:shd w:val="clear" w:color="auto" w:fill="ffffff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писок лите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ратуры.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u w:val="single"/>
          <w:lang w:eastAsia="ru-RU"/>
        </w:rPr>
        <w:t xml:space="preserve">Список литературы для педагогов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Лисицкая Т.С. Хореография и танец [текст] 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Т.С.Лисицкая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— М, 1998.-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с.18-42.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Организация дополнительного образования в школе: планирование, программы,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азработки занятий/авт.-сост.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Н.А.Белибихина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Л.А.Королева. — Волгоград: Учитель, 2009.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с.35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Барышникова Т. Азбука хореографии. Москва, 2000 год.</w:t>
      </w:r>
      <w:r/>
    </w:p>
    <w:p>
      <w:pPr>
        <w:ind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Бекина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СИ. Ломова Т.П. Музыка и движение, 2001г.</w:t>
      </w:r>
      <w:r/>
    </w:p>
    <w:p>
      <w:pPr>
        <w:ind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Лисицкая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Гимнастика и танец. М., 1988</w:t>
      </w:r>
      <w:r/>
    </w:p>
    <w:p>
      <w:pPr>
        <w:ind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Мошкова Е.И. Ритмика и бальные танцы для начальной и средней школы. М.,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1997 г.</w:t>
      </w:r>
      <w:r/>
    </w:p>
    <w:p>
      <w:pPr>
        <w:ind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Лифиц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И.В. Ритмика: Учебное пособие. М., 1999.</w:t>
      </w:r>
      <w:r/>
    </w:p>
    <w:p>
      <w:pPr>
        <w:ind w:firstLine="567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567"/>
        <w:spacing w:after="0" w:line="294" w:lineRule="atLeast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Список литературы для детей</w:t>
      </w:r>
      <w:r/>
    </w:p>
    <w:p>
      <w:pPr>
        <w:numPr>
          <w:ilvl w:val="0"/>
          <w:numId w:val="11"/>
        </w:numPr>
        <w:ind w:left="0"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Ваганова А.Я. Основы классического танца. С.-Пб, 2002.</w:t>
      </w:r>
      <w:r/>
    </w:p>
    <w:p>
      <w:pPr>
        <w:numPr>
          <w:ilvl w:val="0"/>
          <w:numId w:val="11"/>
        </w:numPr>
        <w:ind w:left="0"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Детский фитнес. М., 2006.</w:t>
      </w:r>
      <w:r/>
    </w:p>
    <w:p>
      <w:pPr>
        <w:numPr>
          <w:ilvl w:val="0"/>
          <w:numId w:val="11"/>
        </w:numPr>
        <w:ind w:left="0" w:firstLine="567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Костровицкая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В. 100 уроков классического танца. Л., 1981.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eastAsiaTheme="minorHAnsi"/>
        <w:color w:val="auto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0"/>
    <w:next w:val="62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1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1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1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1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1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1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List Paragraph"/>
    <w:basedOn w:val="620"/>
    <w:uiPriority w:val="34"/>
    <w:qFormat/>
    <w:pPr>
      <w:contextualSpacing/>
      <w:ind w:left="720"/>
    </w:pPr>
  </w:style>
  <w:style w:type="table" w:styleId="625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revision>10</cp:revision>
  <dcterms:created xsi:type="dcterms:W3CDTF">2020-06-04T17:00:00Z</dcterms:created>
  <dcterms:modified xsi:type="dcterms:W3CDTF">2023-10-20T12:41:14Z</dcterms:modified>
</cp:coreProperties>
</file>